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hint="eastAsia" w:ascii="黑体" w:hAnsi="黑体" w:eastAsia="黑体" w:cs="黑体"/>
          <w:sz w:val="32"/>
          <w:szCs w:val="32"/>
          <w:lang w:val="en-US" w:eastAsia="zh-CN"/>
        </w:rPr>
      </w:pPr>
    </w:p>
    <w:p>
      <w:pPr>
        <w:widowControl w:val="0"/>
        <w:wordWrap/>
        <w:adjustRightInd w:val="0"/>
        <w:snapToGrid w:val="0"/>
        <w:spacing w:line="240" w:lineRule="atLeast"/>
        <w:ind w:left="0" w:leftChars="0" w:right="0" w:firstLine="0" w:firstLineChars="0"/>
        <w:jc w:val="center"/>
        <w:textAlignment w:val="auto"/>
        <w:outlineLvl w:val="9"/>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天津市河东区人民检察院2023年度普法责任清单</w:t>
      </w:r>
    </w:p>
    <w:tbl>
      <w:tblPr>
        <w:tblW w:w="13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1825"/>
        <w:gridCol w:w="6312"/>
        <w:gridCol w:w="2183"/>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1177" w:type="dxa"/>
            <w:vAlign w:val="top"/>
          </w:tcPr>
          <w:p>
            <w:pPr>
              <w:rPr>
                <w:rFonts w:hint="eastAsia" w:ascii="Times New Roman" w:hAnsi="Times New Roman" w:eastAsia="黑体" w:cs="黑体"/>
                <w:sz w:val="28"/>
                <w:szCs w:val="28"/>
              </w:rPr>
            </w:pPr>
          </w:p>
        </w:tc>
        <w:tc>
          <w:tcPr>
            <w:tcW w:w="1825" w:type="dxa"/>
            <w:vAlign w:val="top"/>
          </w:tcPr>
          <w:p>
            <w:pPr>
              <w:jc w:val="center"/>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工作职责</w:t>
            </w:r>
          </w:p>
        </w:tc>
        <w:tc>
          <w:tcPr>
            <w:tcW w:w="6312" w:type="dxa"/>
            <w:vAlign w:val="top"/>
          </w:tcPr>
          <w:p>
            <w:pPr>
              <w:jc w:val="center"/>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落实举措</w:t>
            </w:r>
          </w:p>
        </w:tc>
        <w:tc>
          <w:tcPr>
            <w:tcW w:w="2183" w:type="dxa"/>
            <w:vAlign w:val="top"/>
          </w:tcPr>
          <w:p>
            <w:pPr>
              <w:jc w:val="center"/>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责任部门</w:t>
            </w:r>
          </w:p>
        </w:tc>
        <w:tc>
          <w:tcPr>
            <w:tcW w:w="1623" w:type="dxa"/>
            <w:vAlign w:val="top"/>
          </w:tcPr>
          <w:p>
            <w:pPr>
              <w:jc w:val="center"/>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trPr>
        <w:tc>
          <w:tcPr>
            <w:tcW w:w="1177" w:type="dxa"/>
            <w:vMerge w:val="restart"/>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一、加强组织领导</w:t>
            </w:r>
          </w:p>
        </w:tc>
        <w:tc>
          <w:tcPr>
            <w:tcW w:w="1825" w:type="dxa"/>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（一）成立普法工作领导小组</w:t>
            </w:r>
          </w:p>
        </w:tc>
        <w:tc>
          <w:tcPr>
            <w:tcW w:w="6312" w:type="dxa"/>
            <w:vAlign w:val="center"/>
          </w:tcPr>
          <w:p>
            <w:pPr>
              <w:widowControl w:val="0"/>
              <w:numPr>
                <w:numId w:val="0"/>
              </w:numPr>
              <w:wordWrap/>
              <w:adjustRightInd w:val="0"/>
              <w:snapToGrid w:val="0"/>
              <w:spacing w:line="240" w:lineRule="atLeast"/>
              <w:ind w:left="0" w:leftChars="0" w:right="0" w:firstLine="0" w:firstLineChars="0"/>
              <w:jc w:val="both"/>
              <w:textAlignment w:val="auto"/>
              <w:outlineLvl w:val="9"/>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坚持以习近平法治思想指导普法工作，将普法工作纳入检察工作总体布局。坚持党组对法治宣传教育的领导，将普法工作列入党组和主要负责同志职责，根据实际调整天津市河东区人民检察院普法工作领导小组，明确主管领导、具体责任部门和工作人员。</w:t>
            </w:r>
          </w:p>
        </w:tc>
        <w:tc>
          <w:tcPr>
            <w:tcW w:w="2183" w:type="dxa"/>
            <w:vAlign w:val="center"/>
          </w:tcPr>
          <w:p>
            <w:pPr>
              <w:widowControl w:val="0"/>
              <w:numPr>
                <w:numId w:val="0"/>
              </w:numPr>
              <w:wordWrap/>
              <w:adjustRightInd w:val="0"/>
              <w:snapToGrid w:val="0"/>
              <w:spacing w:line="240" w:lineRule="atLeast"/>
              <w:ind w:left="0" w:leftChars="0" w:right="0" w:firstLine="0" w:firstLineChars="0"/>
              <w:jc w:val="both"/>
              <w:textAlignment w:val="auto"/>
              <w:outlineLvl w:val="9"/>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办公室</w:t>
            </w:r>
          </w:p>
          <w:p>
            <w:pPr>
              <w:widowControl w:val="0"/>
              <w:numPr>
                <w:numId w:val="0"/>
              </w:numPr>
              <w:wordWrap/>
              <w:adjustRightInd w:val="0"/>
              <w:snapToGrid w:val="0"/>
              <w:spacing w:line="240" w:lineRule="atLeast"/>
              <w:ind w:left="0" w:leftChars="0" w:right="0" w:firstLine="0" w:firstLineChars="0"/>
              <w:jc w:val="both"/>
              <w:textAlignment w:val="auto"/>
              <w:outlineLvl w:val="9"/>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政治部</w:t>
            </w:r>
          </w:p>
          <w:p>
            <w:pPr>
              <w:widowControl w:val="0"/>
              <w:numPr>
                <w:numId w:val="0"/>
              </w:numPr>
              <w:wordWrap/>
              <w:adjustRightInd w:val="0"/>
              <w:snapToGrid w:val="0"/>
              <w:spacing w:line="240" w:lineRule="atLeast"/>
              <w:ind w:left="0" w:leftChars="0" w:right="0" w:firstLine="0" w:firstLineChars="0"/>
              <w:jc w:val="both"/>
              <w:textAlignment w:val="auto"/>
              <w:outlineLvl w:val="9"/>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综合业务部</w:t>
            </w:r>
          </w:p>
        </w:tc>
        <w:tc>
          <w:tcPr>
            <w:tcW w:w="1623"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5月31日前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trPr>
        <w:tc>
          <w:tcPr>
            <w:tcW w:w="1177" w:type="dxa"/>
            <w:vMerge w:val="continue"/>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p>
        </w:tc>
        <w:tc>
          <w:tcPr>
            <w:tcW w:w="1825" w:type="dxa"/>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（二）制定法治宣传教育计划</w:t>
            </w:r>
          </w:p>
        </w:tc>
        <w:tc>
          <w:tcPr>
            <w:tcW w:w="6312" w:type="dxa"/>
            <w:vAlign w:val="center"/>
          </w:tcPr>
          <w:p>
            <w:pPr>
              <w:widowControl w:val="0"/>
              <w:numPr>
                <w:numId w:val="0"/>
              </w:numPr>
              <w:wordWrap/>
              <w:adjustRightInd w:val="0"/>
              <w:snapToGrid w:val="0"/>
              <w:spacing w:line="240" w:lineRule="atLeast"/>
              <w:ind w:left="0" w:leftChars="0" w:right="0" w:firstLine="0" w:firstLineChars="0"/>
              <w:jc w:val="both"/>
              <w:textAlignment w:val="auto"/>
              <w:outlineLvl w:val="9"/>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2.根据检察工作特点和工作重点，制定天津市河东区人民检察院法治宣传教育计划和实施方案，明确重点推进事项和重点宣传项目，并组织推动落实。</w:t>
            </w:r>
          </w:p>
        </w:tc>
        <w:tc>
          <w:tcPr>
            <w:tcW w:w="2183" w:type="dxa"/>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政治部</w:t>
            </w:r>
          </w:p>
        </w:tc>
        <w:tc>
          <w:tcPr>
            <w:tcW w:w="1623"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5月31日前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trPr>
        <w:tc>
          <w:tcPr>
            <w:tcW w:w="1177" w:type="dxa"/>
            <w:vMerge w:val="continue"/>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p>
        </w:tc>
        <w:tc>
          <w:tcPr>
            <w:tcW w:w="1825" w:type="dxa"/>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eastAsia="zh-CN"/>
              </w:rPr>
              <w:t>（</w:t>
            </w:r>
            <w:r>
              <w:rPr>
                <w:rFonts w:hint="eastAsia" w:ascii="Times New Roman" w:hAnsi="Times New Roman" w:eastAsia="仿宋_GB2312" w:cs="仿宋_GB2312"/>
                <w:sz w:val="24"/>
                <w:szCs w:val="24"/>
                <w:lang w:val="en-US" w:eastAsia="zh-CN"/>
              </w:rPr>
              <w:t>三</w:t>
            </w:r>
            <w:r>
              <w:rPr>
                <w:rFonts w:hint="eastAsia" w:ascii="Times New Roman" w:hAnsi="Times New Roman" w:eastAsia="仿宋_GB2312" w:cs="仿宋_GB2312"/>
                <w:sz w:val="24"/>
                <w:szCs w:val="24"/>
                <w:lang w:eastAsia="zh-CN"/>
              </w:rPr>
              <w:t>）</w:t>
            </w:r>
            <w:r>
              <w:rPr>
                <w:rFonts w:hint="eastAsia" w:ascii="Times New Roman" w:hAnsi="Times New Roman" w:eastAsia="仿宋_GB2312" w:cs="仿宋_GB2312"/>
                <w:sz w:val="24"/>
                <w:szCs w:val="24"/>
                <w:lang w:val="en-US" w:eastAsia="zh-CN"/>
              </w:rPr>
              <w:t>制定普法责任清单</w:t>
            </w:r>
          </w:p>
        </w:tc>
        <w:tc>
          <w:tcPr>
            <w:tcW w:w="6312" w:type="dxa"/>
            <w:vAlign w:val="center"/>
          </w:tcPr>
          <w:p>
            <w:pPr>
              <w:widowControl w:val="0"/>
              <w:numPr>
                <w:numId w:val="0"/>
              </w:numPr>
              <w:wordWrap/>
              <w:adjustRightInd w:val="0"/>
              <w:snapToGrid w:val="0"/>
              <w:spacing w:line="240" w:lineRule="atLeast"/>
              <w:ind w:leftChars="0" w:right="0"/>
              <w:jc w:val="both"/>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3.结合落实《2023年度河东区“谁执法谁普法”履职报告评议指标》，制定天津市河东区人民检察院普法责任清单，并通过官方网站向社会公布。</w:t>
            </w:r>
          </w:p>
        </w:tc>
        <w:tc>
          <w:tcPr>
            <w:tcW w:w="2183" w:type="dxa"/>
            <w:vAlign w:val="center"/>
          </w:tcPr>
          <w:p>
            <w:pPr>
              <w:widowControl w:val="0"/>
              <w:numPr>
                <w:numId w:val="0"/>
              </w:numPr>
              <w:wordWrap/>
              <w:adjustRightInd w:val="0"/>
              <w:snapToGrid w:val="0"/>
              <w:spacing w:line="240" w:lineRule="atLeast"/>
              <w:ind w:left="0" w:leftChars="0" w:right="0" w:firstLine="0" w:firstLineChars="0"/>
              <w:jc w:val="both"/>
              <w:textAlignment w:val="auto"/>
              <w:outlineLvl w:val="9"/>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办公室</w:t>
            </w:r>
          </w:p>
          <w:p>
            <w:pPr>
              <w:widowControl w:val="0"/>
              <w:numPr>
                <w:numId w:val="0"/>
              </w:numPr>
              <w:wordWrap/>
              <w:adjustRightInd w:val="0"/>
              <w:snapToGrid w:val="0"/>
              <w:spacing w:line="240" w:lineRule="atLeast"/>
              <w:ind w:left="0" w:leftChars="0" w:right="0" w:firstLine="0" w:firstLineChars="0"/>
              <w:jc w:val="both"/>
              <w:textAlignment w:val="auto"/>
              <w:outlineLvl w:val="9"/>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政治部</w:t>
            </w:r>
          </w:p>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综合业务部</w:t>
            </w:r>
          </w:p>
        </w:tc>
        <w:tc>
          <w:tcPr>
            <w:tcW w:w="1623"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5月31日前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trPr>
        <w:tc>
          <w:tcPr>
            <w:tcW w:w="1177" w:type="dxa"/>
            <w:vMerge w:val="restart"/>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二、加强系统内学法用法</w:t>
            </w:r>
          </w:p>
        </w:tc>
        <w:tc>
          <w:tcPr>
            <w:tcW w:w="1825" w:type="dxa"/>
            <w:vMerge w:val="restart"/>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eastAsia="zh-CN"/>
              </w:rPr>
              <w:t>（</w:t>
            </w:r>
            <w:r>
              <w:rPr>
                <w:rFonts w:hint="eastAsia" w:ascii="Times New Roman" w:hAnsi="Times New Roman" w:eastAsia="仿宋_GB2312" w:cs="仿宋_GB2312"/>
                <w:sz w:val="24"/>
                <w:szCs w:val="24"/>
                <w:lang w:val="en-US" w:eastAsia="zh-CN"/>
              </w:rPr>
              <w:t>四</w:t>
            </w:r>
            <w:r>
              <w:rPr>
                <w:rFonts w:hint="eastAsia" w:ascii="Times New Roman" w:hAnsi="Times New Roman" w:eastAsia="仿宋_GB2312" w:cs="仿宋_GB2312"/>
                <w:sz w:val="24"/>
                <w:szCs w:val="24"/>
                <w:lang w:eastAsia="zh-CN"/>
              </w:rPr>
              <w:t>）</w:t>
            </w:r>
            <w:r>
              <w:rPr>
                <w:rFonts w:hint="eastAsia" w:ascii="Times New Roman" w:hAnsi="Times New Roman" w:eastAsia="仿宋_GB2312" w:cs="仿宋_GB2312"/>
                <w:sz w:val="24"/>
                <w:szCs w:val="24"/>
                <w:lang w:val="en-US" w:eastAsia="zh-CN"/>
              </w:rPr>
              <w:t>落实国家机关工作人员学法用法考法述法制度</w:t>
            </w:r>
          </w:p>
        </w:tc>
        <w:tc>
          <w:tcPr>
            <w:tcW w:w="6312" w:type="dxa"/>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4.推动领导干部加强宪法学习，将宪法法律纳入党组中心组学习内容，制定学习计划，并组织局级领导干部开展专题学习每年不少于2次，处级领导干部不少于4次。</w:t>
            </w:r>
          </w:p>
        </w:tc>
        <w:tc>
          <w:tcPr>
            <w:tcW w:w="2183" w:type="dxa"/>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政治部</w:t>
            </w:r>
          </w:p>
        </w:tc>
        <w:tc>
          <w:tcPr>
            <w:tcW w:w="1623"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177" w:type="dxa"/>
            <w:vMerge w:val="continue"/>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p>
        </w:tc>
        <w:tc>
          <w:tcPr>
            <w:tcW w:w="1825" w:type="dxa"/>
            <w:vMerge w:val="continue"/>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eastAsia="zh-CN"/>
              </w:rPr>
            </w:pPr>
          </w:p>
        </w:tc>
        <w:tc>
          <w:tcPr>
            <w:tcW w:w="6312" w:type="dxa"/>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eastAsia="zh-CN"/>
              </w:rPr>
              <w:t>5.结合年度法治热点和检察工作重点，党组书记、检察长每年至少讲1次专题法治课。</w:t>
            </w:r>
          </w:p>
        </w:tc>
        <w:tc>
          <w:tcPr>
            <w:tcW w:w="2183" w:type="dxa"/>
            <w:vAlign w:val="center"/>
          </w:tcPr>
          <w:p>
            <w:pPr>
              <w:widowControl w:val="0"/>
              <w:numPr>
                <w:numId w:val="0"/>
              </w:numPr>
              <w:wordWrap/>
              <w:adjustRightInd w:val="0"/>
              <w:snapToGrid w:val="0"/>
              <w:spacing w:line="240" w:lineRule="atLeast"/>
              <w:ind w:left="0" w:leftChars="0" w:right="0" w:firstLine="0" w:firstLineChars="0"/>
              <w:jc w:val="both"/>
              <w:textAlignment w:val="auto"/>
              <w:outlineLvl w:val="9"/>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办公室</w:t>
            </w:r>
          </w:p>
          <w:p>
            <w:pPr>
              <w:widowControl w:val="0"/>
              <w:numPr>
                <w:numId w:val="0"/>
              </w:numPr>
              <w:wordWrap/>
              <w:adjustRightInd w:val="0"/>
              <w:snapToGrid w:val="0"/>
              <w:spacing w:line="240" w:lineRule="atLeast"/>
              <w:ind w:left="0" w:leftChars="0" w:right="0" w:firstLine="0" w:firstLineChars="0"/>
              <w:jc w:val="both"/>
              <w:textAlignment w:val="auto"/>
              <w:outlineLvl w:val="9"/>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政治部</w:t>
            </w:r>
          </w:p>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eastAsia="zh-CN"/>
              </w:rPr>
              <w:t>综合业务部</w:t>
            </w:r>
          </w:p>
        </w:tc>
        <w:tc>
          <w:tcPr>
            <w:tcW w:w="1623"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1177" w:type="dxa"/>
            <w:vMerge w:val="restart"/>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二、加强系统内学法用法</w:t>
            </w:r>
          </w:p>
        </w:tc>
        <w:tc>
          <w:tcPr>
            <w:tcW w:w="1825" w:type="dxa"/>
            <w:vMerge w:val="restart"/>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w:t>
            </w:r>
            <w:r>
              <w:rPr>
                <w:rFonts w:hint="eastAsia" w:ascii="Times New Roman" w:hAnsi="Times New Roman" w:eastAsia="仿宋_GB2312" w:cs="仿宋_GB2312"/>
                <w:sz w:val="24"/>
                <w:szCs w:val="24"/>
                <w:lang w:val="en-US" w:eastAsia="zh-CN"/>
              </w:rPr>
              <w:t>四</w:t>
            </w:r>
            <w:r>
              <w:rPr>
                <w:rFonts w:hint="eastAsia" w:ascii="Times New Roman" w:hAnsi="Times New Roman" w:eastAsia="仿宋_GB2312" w:cs="仿宋_GB2312"/>
                <w:sz w:val="24"/>
                <w:szCs w:val="24"/>
                <w:lang w:eastAsia="zh-CN"/>
              </w:rPr>
              <w:t>）</w:t>
            </w:r>
            <w:r>
              <w:rPr>
                <w:rFonts w:hint="eastAsia" w:ascii="Times New Roman" w:hAnsi="Times New Roman" w:eastAsia="仿宋_GB2312" w:cs="仿宋_GB2312"/>
                <w:sz w:val="24"/>
                <w:szCs w:val="24"/>
                <w:lang w:val="en-US" w:eastAsia="zh-CN"/>
              </w:rPr>
              <w:t>落实国家机关工作人员学法用法考法述法制度</w:t>
            </w:r>
          </w:p>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p>
        </w:tc>
        <w:tc>
          <w:tcPr>
            <w:tcW w:w="6312" w:type="dxa"/>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6.选择典型案件，组织干警集中开展观看庭审普法教育活动。</w:t>
            </w:r>
          </w:p>
        </w:tc>
        <w:tc>
          <w:tcPr>
            <w:tcW w:w="2183" w:type="dxa"/>
            <w:vAlign w:val="center"/>
          </w:tcPr>
          <w:p>
            <w:pPr>
              <w:widowControl w:val="0"/>
              <w:numPr>
                <w:numId w:val="0"/>
              </w:numPr>
              <w:wordWrap/>
              <w:adjustRightInd w:val="0"/>
              <w:snapToGrid w:val="0"/>
              <w:spacing w:line="240" w:lineRule="atLeast"/>
              <w:ind w:left="0" w:leftChars="0" w:right="0" w:firstLine="0" w:firstLineChars="0"/>
              <w:jc w:val="both"/>
              <w:textAlignment w:val="auto"/>
              <w:outlineLvl w:val="9"/>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政治部</w:t>
            </w:r>
          </w:p>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eastAsia="zh-CN"/>
              </w:rPr>
            </w:pPr>
          </w:p>
        </w:tc>
        <w:tc>
          <w:tcPr>
            <w:tcW w:w="1623"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10月31日前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trPr>
        <w:tc>
          <w:tcPr>
            <w:tcW w:w="1177" w:type="dxa"/>
            <w:vMerge w:val="continue"/>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p>
        </w:tc>
        <w:tc>
          <w:tcPr>
            <w:tcW w:w="1825" w:type="dxa"/>
            <w:vMerge w:val="continue"/>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eastAsia="zh-CN"/>
              </w:rPr>
            </w:pPr>
          </w:p>
        </w:tc>
        <w:tc>
          <w:tcPr>
            <w:tcW w:w="6312" w:type="dxa"/>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highlight w:val="none"/>
                <w:lang w:val="en-US" w:eastAsia="zh-CN"/>
              </w:rPr>
              <w:t>7.建立健全领导班子和领导干部考核述法制度，将“谁执法谁普法”责任制纳入领导班子和领导干部年度考核内容。</w:t>
            </w:r>
          </w:p>
        </w:tc>
        <w:tc>
          <w:tcPr>
            <w:tcW w:w="2183" w:type="dxa"/>
            <w:vAlign w:val="center"/>
          </w:tcPr>
          <w:p>
            <w:pPr>
              <w:widowControl w:val="0"/>
              <w:numPr>
                <w:numId w:val="0"/>
              </w:numPr>
              <w:wordWrap/>
              <w:adjustRightInd w:val="0"/>
              <w:snapToGrid w:val="0"/>
              <w:spacing w:line="240" w:lineRule="atLeast"/>
              <w:ind w:left="0" w:leftChars="0" w:right="0" w:firstLine="0" w:firstLineChars="0"/>
              <w:jc w:val="both"/>
              <w:textAlignment w:val="auto"/>
              <w:outlineLvl w:val="9"/>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政治部</w:t>
            </w:r>
          </w:p>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综合业务部</w:t>
            </w:r>
          </w:p>
        </w:tc>
        <w:tc>
          <w:tcPr>
            <w:tcW w:w="1623"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10月31日前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trPr>
        <w:tc>
          <w:tcPr>
            <w:tcW w:w="1177" w:type="dxa"/>
            <w:vMerge w:val="continue"/>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p>
        </w:tc>
        <w:tc>
          <w:tcPr>
            <w:tcW w:w="1825" w:type="dxa"/>
            <w:vMerge w:val="continue"/>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eastAsia="zh-CN"/>
              </w:rPr>
            </w:pPr>
          </w:p>
        </w:tc>
        <w:tc>
          <w:tcPr>
            <w:tcW w:w="6312" w:type="dxa"/>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8.建立完善学法考勤、学法档案、学法情况通报等制度，推进经常性学法工作，保证每年学法时间不少于40小时。</w:t>
            </w:r>
          </w:p>
        </w:tc>
        <w:tc>
          <w:tcPr>
            <w:tcW w:w="2183" w:type="dxa"/>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p>
          <w:p>
            <w:pPr>
              <w:widowControl w:val="0"/>
              <w:numPr>
                <w:numId w:val="0"/>
              </w:numPr>
              <w:wordWrap/>
              <w:adjustRightInd w:val="0"/>
              <w:snapToGrid w:val="0"/>
              <w:spacing w:line="240" w:lineRule="atLeast"/>
              <w:ind w:left="0" w:leftChars="0" w:right="0" w:firstLine="0" w:firstLineChars="0"/>
              <w:jc w:val="both"/>
              <w:textAlignment w:val="auto"/>
              <w:outlineLvl w:val="9"/>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政治部</w:t>
            </w:r>
          </w:p>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p>
        </w:tc>
        <w:tc>
          <w:tcPr>
            <w:tcW w:w="1623"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7" w:hRule="atLeast"/>
        </w:trPr>
        <w:tc>
          <w:tcPr>
            <w:tcW w:w="1177" w:type="dxa"/>
            <w:vMerge w:val="continue"/>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p>
        </w:tc>
        <w:tc>
          <w:tcPr>
            <w:tcW w:w="1825" w:type="dxa"/>
            <w:vMerge w:val="continue"/>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p>
        </w:tc>
        <w:tc>
          <w:tcPr>
            <w:tcW w:w="6312" w:type="dxa"/>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9.每年组织在编干警进行网上学法用法学习考试，保证参考率、通过率均为100%。</w:t>
            </w:r>
          </w:p>
        </w:tc>
        <w:tc>
          <w:tcPr>
            <w:tcW w:w="2183" w:type="dxa"/>
            <w:textDirection w:val="lrTb"/>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p>
          <w:p>
            <w:pPr>
              <w:widowControl w:val="0"/>
              <w:numPr>
                <w:numId w:val="0"/>
              </w:numPr>
              <w:wordWrap/>
              <w:adjustRightInd w:val="0"/>
              <w:snapToGrid w:val="0"/>
              <w:spacing w:line="240" w:lineRule="atLeast"/>
              <w:ind w:left="0" w:leftChars="0" w:right="0" w:firstLine="0" w:firstLineChars="0"/>
              <w:jc w:val="both"/>
              <w:textAlignment w:val="auto"/>
              <w:outlineLvl w:val="9"/>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政治部</w:t>
            </w:r>
          </w:p>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p>
        </w:tc>
        <w:tc>
          <w:tcPr>
            <w:tcW w:w="1623" w:type="dxa"/>
            <w:textDirection w:val="lrTb"/>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177" w:type="dxa"/>
            <w:vMerge w:val="continue"/>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p>
        </w:tc>
        <w:tc>
          <w:tcPr>
            <w:tcW w:w="1825" w:type="dxa"/>
            <w:vMerge w:val="continue"/>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eastAsia="zh-CN"/>
              </w:rPr>
            </w:pPr>
          </w:p>
        </w:tc>
        <w:tc>
          <w:tcPr>
            <w:tcW w:w="6312" w:type="dxa"/>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10.建立完善具有检察特色的“个性学法清单”“个性题库”，组织参加全市检察系统学法考法活动，每年至少组织1次闭卷考试。</w:t>
            </w:r>
          </w:p>
        </w:tc>
        <w:tc>
          <w:tcPr>
            <w:tcW w:w="2183" w:type="dxa"/>
            <w:textDirection w:val="lrTb"/>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p>
          <w:p>
            <w:pPr>
              <w:widowControl w:val="0"/>
              <w:numPr>
                <w:numId w:val="0"/>
              </w:numPr>
              <w:wordWrap/>
              <w:adjustRightInd w:val="0"/>
              <w:snapToGrid w:val="0"/>
              <w:spacing w:line="240" w:lineRule="atLeast"/>
              <w:ind w:left="0" w:leftChars="0" w:right="0" w:firstLine="0" w:firstLineChars="0"/>
              <w:jc w:val="both"/>
              <w:textAlignment w:val="auto"/>
              <w:outlineLvl w:val="9"/>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政治部</w:t>
            </w:r>
          </w:p>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eastAsia="zh-CN"/>
              </w:rPr>
            </w:pPr>
          </w:p>
        </w:tc>
        <w:tc>
          <w:tcPr>
            <w:tcW w:w="1623" w:type="dxa"/>
            <w:textDirection w:val="lrTb"/>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trPr>
        <w:tc>
          <w:tcPr>
            <w:tcW w:w="1177" w:type="dxa"/>
            <w:vMerge w:val="restart"/>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三、加强重点宣传</w:t>
            </w:r>
          </w:p>
          <w:p>
            <w:pPr>
              <w:jc w:val="both"/>
              <w:rPr>
                <w:rFonts w:hint="eastAsia" w:ascii="Times New Roman" w:hAnsi="Times New Roman" w:eastAsia="仿宋_GB2312" w:cs="仿宋_GB2312"/>
                <w:sz w:val="24"/>
                <w:szCs w:val="24"/>
                <w:lang w:val="en-US" w:eastAsia="zh-CN"/>
              </w:rPr>
            </w:pPr>
          </w:p>
        </w:tc>
        <w:tc>
          <w:tcPr>
            <w:tcW w:w="1825" w:type="dxa"/>
            <w:vMerge w:val="restart"/>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w:t>
            </w:r>
            <w:r>
              <w:rPr>
                <w:rFonts w:hint="eastAsia" w:ascii="Times New Roman" w:hAnsi="Times New Roman" w:eastAsia="仿宋_GB2312" w:cs="仿宋_GB2312"/>
                <w:sz w:val="24"/>
                <w:szCs w:val="24"/>
                <w:lang w:val="en-US" w:eastAsia="zh-CN"/>
              </w:rPr>
              <w:t>五</w:t>
            </w:r>
            <w:r>
              <w:rPr>
                <w:rFonts w:hint="eastAsia" w:ascii="Times New Roman" w:hAnsi="Times New Roman" w:eastAsia="仿宋_GB2312" w:cs="仿宋_GB2312"/>
                <w:sz w:val="24"/>
                <w:szCs w:val="24"/>
                <w:lang w:eastAsia="zh-CN"/>
              </w:rPr>
              <w:t>）</w:t>
            </w:r>
            <w:r>
              <w:rPr>
                <w:rFonts w:hint="eastAsia" w:ascii="Times New Roman" w:hAnsi="Times New Roman" w:eastAsia="仿宋_GB2312" w:cs="仿宋_GB2312"/>
                <w:sz w:val="24"/>
                <w:szCs w:val="24"/>
                <w:lang w:val="en-US" w:eastAsia="zh-CN"/>
              </w:rPr>
              <w:t>加强习近平法治思想学习宣传</w:t>
            </w:r>
          </w:p>
          <w:p>
            <w:pPr>
              <w:jc w:val="both"/>
              <w:rPr>
                <w:rFonts w:hint="eastAsia" w:ascii="Times New Roman" w:hAnsi="Times New Roman" w:eastAsia="仿宋_GB2312" w:cs="仿宋_GB2312"/>
                <w:sz w:val="24"/>
                <w:szCs w:val="24"/>
                <w:lang w:eastAsia="zh-CN"/>
              </w:rPr>
            </w:pPr>
          </w:p>
          <w:p>
            <w:pPr>
              <w:jc w:val="both"/>
              <w:rPr>
                <w:rFonts w:hint="eastAsia" w:ascii="Times New Roman" w:hAnsi="Times New Roman" w:eastAsia="仿宋_GB2312" w:cs="仿宋_GB2312"/>
                <w:sz w:val="24"/>
                <w:szCs w:val="24"/>
                <w:lang w:eastAsia="zh-CN"/>
              </w:rPr>
            </w:pPr>
          </w:p>
        </w:tc>
        <w:tc>
          <w:tcPr>
            <w:tcW w:w="6312" w:type="dxa"/>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11.加强习近平法治思想学习宣传，着力推动习近平法治思想大众化传播，建立相对固定普法宣传队伍，发挥普法讲师团、法治副校长、法治辅导员、普法志愿者等队伍优势，主动宣传科学立法、严格执法、公正司法、全民守法和党内法规建设的生动实践。</w:t>
            </w:r>
          </w:p>
        </w:tc>
        <w:tc>
          <w:tcPr>
            <w:tcW w:w="2183" w:type="dxa"/>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政治部</w:t>
            </w:r>
          </w:p>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办公室</w:t>
            </w:r>
          </w:p>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第二</w:t>
            </w:r>
            <w:r>
              <w:rPr>
                <w:rFonts w:hint="eastAsia" w:ascii="Times New Roman" w:hAnsi="Times New Roman" w:eastAsia="仿宋_GB2312" w:cs="仿宋_GB2312"/>
                <w:sz w:val="24"/>
                <w:szCs w:val="24"/>
                <w:lang w:eastAsia="zh-CN"/>
              </w:rPr>
              <w:t>检察部</w:t>
            </w:r>
          </w:p>
        </w:tc>
        <w:tc>
          <w:tcPr>
            <w:tcW w:w="1623"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10月31日前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3" w:hRule="atLeast"/>
        </w:trPr>
        <w:tc>
          <w:tcPr>
            <w:tcW w:w="1177" w:type="dxa"/>
            <w:vMerge w:val="continue"/>
            <w:vAlign w:val="center"/>
          </w:tcPr>
          <w:p>
            <w:pPr>
              <w:jc w:val="both"/>
              <w:rPr>
                <w:rFonts w:hint="eastAsia" w:ascii="Times New Roman" w:hAnsi="Times New Roman" w:eastAsia="仿宋_GB2312" w:cs="仿宋_GB2312"/>
                <w:sz w:val="24"/>
                <w:szCs w:val="24"/>
                <w:lang w:val="en-US" w:eastAsia="zh-CN"/>
              </w:rPr>
            </w:pPr>
          </w:p>
        </w:tc>
        <w:tc>
          <w:tcPr>
            <w:tcW w:w="1825" w:type="dxa"/>
            <w:vMerge w:val="continue"/>
            <w:vAlign w:val="center"/>
          </w:tcPr>
          <w:p>
            <w:pPr>
              <w:jc w:val="both"/>
              <w:rPr>
                <w:rFonts w:hint="eastAsia" w:ascii="Times New Roman" w:hAnsi="Times New Roman" w:eastAsia="仿宋_GB2312" w:cs="仿宋_GB2312"/>
                <w:sz w:val="24"/>
                <w:szCs w:val="24"/>
                <w:lang w:eastAsia="zh-CN"/>
              </w:rPr>
            </w:pPr>
          </w:p>
        </w:tc>
        <w:tc>
          <w:tcPr>
            <w:tcW w:w="6312" w:type="dxa"/>
            <w:vAlign w:val="center"/>
          </w:tcPr>
          <w:p>
            <w:pPr>
              <w:widowControl w:val="0"/>
              <w:wordWrap/>
              <w:adjustRightInd/>
              <w:snapToGrid/>
              <w:spacing w:before="0" w:after="0" w:line="240" w:lineRule="auto"/>
              <w:ind w:left="0" w:leftChars="0" w:right="0" w:firstLine="0" w:firstLineChars="0"/>
              <w:jc w:val="both"/>
              <w:textAlignment w:val="auto"/>
              <w:outlineLvl w:val="9"/>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12.常态化开展宪法宣传教育。深入贯彻落实习近平总书记发表的关于纪念现行宪法公布施行四十周年重要署名文章精神，抓住“领导干部”这个关键少数，持续深入开展宪法宣传教育，组织开展2023年“宪法宣传周”集中宣传活动。</w:t>
            </w:r>
          </w:p>
        </w:tc>
        <w:tc>
          <w:tcPr>
            <w:tcW w:w="2183" w:type="dxa"/>
            <w:vAlign w:val="center"/>
          </w:tcPr>
          <w:p>
            <w:pPr>
              <w:jc w:val="both"/>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办公室</w:t>
            </w:r>
          </w:p>
          <w:p>
            <w:pPr>
              <w:jc w:val="both"/>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政治部</w:t>
            </w:r>
          </w:p>
          <w:p>
            <w:pPr>
              <w:jc w:val="both"/>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综合业务部</w:t>
            </w:r>
          </w:p>
        </w:tc>
        <w:tc>
          <w:tcPr>
            <w:tcW w:w="1623"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8" w:hRule="atLeast"/>
        </w:trPr>
        <w:tc>
          <w:tcPr>
            <w:tcW w:w="1177" w:type="dxa"/>
            <w:vMerge w:val="continue"/>
            <w:vAlign w:val="center"/>
          </w:tcPr>
          <w:p>
            <w:pPr>
              <w:jc w:val="both"/>
              <w:rPr>
                <w:rFonts w:hint="eastAsia" w:ascii="Times New Roman" w:hAnsi="Times New Roman" w:eastAsia="仿宋_GB2312" w:cs="仿宋_GB2312"/>
                <w:sz w:val="24"/>
                <w:szCs w:val="24"/>
                <w:lang w:val="en-US" w:eastAsia="zh-CN"/>
              </w:rPr>
            </w:pPr>
          </w:p>
        </w:tc>
        <w:tc>
          <w:tcPr>
            <w:tcW w:w="1825" w:type="dxa"/>
            <w:vMerge w:val="continue"/>
            <w:vAlign w:val="center"/>
          </w:tcPr>
          <w:p>
            <w:pPr>
              <w:jc w:val="both"/>
              <w:rPr>
                <w:rFonts w:hint="eastAsia" w:ascii="Times New Roman" w:hAnsi="Times New Roman" w:eastAsia="仿宋_GB2312" w:cs="仿宋_GB2312"/>
                <w:sz w:val="24"/>
                <w:szCs w:val="24"/>
                <w:lang w:eastAsia="zh-CN"/>
              </w:rPr>
            </w:pPr>
          </w:p>
        </w:tc>
        <w:tc>
          <w:tcPr>
            <w:tcW w:w="6312" w:type="dxa"/>
            <w:vAlign w:val="center"/>
          </w:tcPr>
          <w:p>
            <w:pPr>
              <w:jc w:val="both"/>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13.继续开展民法典普法工作。深入贯彻落实习近平总书记“让民法典走到群众身边、走进群众心里”的重要指示精神，继续深入开展“美好生活·民法典相伴”主题宣传活动，提高全社会遇事找法、办事依法的意识和能力。</w:t>
            </w:r>
          </w:p>
        </w:tc>
        <w:tc>
          <w:tcPr>
            <w:tcW w:w="2183" w:type="dxa"/>
            <w:vAlign w:val="center"/>
          </w:tcPr>
          <w:p>
            <w:pPr>
              <w:jc w:val="both"/>
              <w:rPr>
                <w:rFonts w:hint="eastAsia" w:ascii="Times New Roman" w:hAnsi="Times New Roman" w:eastAsia="仿宋_GB2312" w:cs="仿宋_GB2312"/>
                <w:sz w:val="24"/>
                <w:szCs w:val="24"/>
                <w:lang w:eastAsia="zh-CN"/>
              </w:rPr>
            </w:pPr>
          </w:p>
          <w:p>
            <w:pPr>
              <w:jc w:val="both"/>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第五检察部</w:t>
            </w:r>
          </w:p>
          <w:p>
            <w:pPr>
              <w:jc w:val="both"/>
              <w:rPr>
                <w:rFonts w:hint="eastAsia" w:ascii="Times New Roman" w:hAnsi="Times New Roman" w:eastAsia="仿宋_GB2312" w:cs="仿宋_GB2312"/>
                <w:sz w:val="24"/>
                <w:szCs w:val="24"/>
                <w:lang w:eastAsia="zh-CN"/>
              </w:rPr>
            </w:pPr>
          </w:p>
        </w:tc>
        <w:tc>
          <w:tcPr>
            <w:tcW w:w="1623"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trPr>
        <w:tc>
          <w:tcPr>
            <w:tcW w:w="1177" w:type="dxa"/>
            <w:vMerge w:val="continue"/>
            <w:vAlign w:val="center"/>
          </w:tcPr>
          <w:p>
            <w:pPr>
              <w:jc w:val="both"/>
              <w:rPr>
                <w:rFonts w:hint="eastAsia" w:ascii="Times New Roman" w:hAnsi="Times New Roman" w:eastAsia="仿宋_GB2312" w:cs="仿宋_GB2312"/>
                <w:sz w:val="24"/>
                <w:szCs w:val="24"/>
              </w:rPr>
            </w:pPr>
          </w:p>
        </w:tc>
        <w:tc>
          <w:tcPr>
            <w:tcW w:w="1825" w:type="dxa"/>
            <w:vMerge w:val="continue"/>
            <w:vAlign w:val="center"/>
          </w:tcPr>
          <w:p>
            <w:pPr>
              <w:jc w:val="both"/>
              <w:rPr>
                <w:rFonts w:hint="eastAsia" w:ascii="Times New Roman" w:hAnsi="Times New Roman" w:eastAsia="仿宋_GB2312" w:cs="仿宋_GB2312"/>
                <w:sz w:val="24"/>
                <w:szCs w:val="24"/>
                <w:lang w:eastAsia="zh-CN"/>
              </w:rPr>
            </w:pPr>
          </w:p>
        </w:tc>
        <w:tc>
          <w:tcPr>
            <w:tcW w:w="6312" w:type="dxa"/>
            <w:vAlign w:val="center"/>
          </w:tcPr>
          <w:p>
            <w:pPr>
              <w:jc w:val="both"/>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14.进一步丰富普法方式和手段。结合各类宣传节点，组织开展国家安全、扫黑除恶、公益诉讼、知识产权、未成年人保护等专题法治宣传活动。</w:t>
            </w:r>
          </w:p>
        </w:tc>
        <w:tc>
          <w:tcPr>
            <w:tcW w:w="2183" w:type="dxa"/>
            <w:vAlign w:val="center"/>
          </w:tcPr>
          <w:p>
            <w:pPr>
              <w:jc w:val="both"/>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各部门</w:t>
            </w:r>
          </w:p>
        </w:tc>
        <w:tc>
          <w:tcPr>
            <w:tcW w:w="1623"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9" w:hRule="atLeast"/>
        </w:trPr>
        <w:tc>
          <w:tcPr>
            <w:tcW w:w="1177" w:type="dxa"/>
            <w:vMerge w:val="restart"/>
            <w:vAlign w:val="center"/>
          </w:tcPr>
          <w:p>
            <w:pPr>
              <w:jc w:val="both"/>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四、加强普法责任制落实</w:t>
            </w:r>
          </w:p>
        </w:tc>
        <w:tc>
          <w:tcPr>
            <w:tcW w:w="1825" w:type="dxa"/>
            <w:vMerge w:val="restart"/>
            <w:vAlign w:val="center"/>
          </w:tcPr>
          <w:p>
            <w:pPr>
              <w:jc w:val="both"/>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（六）</w:t>
            </w:r>
            <w:r>
              <w:rPr>
                <w:rFonts w:hint="eastAsia" w:ascii="Times New Roman" w:hAnsi="Times New Roman" w:eastAsia="仿宋_GB2312" w:cs="仿宋_GB2312"/>
                <w:sz w:val="24"/>
                <w:szCs w:val="24"/>
                <w:lang w:val="en-US" w:eastAsia="zh-CN"/>
              </w:rPr>
              <w:t>健全完善检察官以案释法制度</w:t>
            </w:r>
          </w:p>
          <w:p>
            <w:pPr>
              <w:jc w:val="both"/>
              <w:rPr>
                <w:rFonts w:hint="eastAsia" w:ascii="Times New Roman" w:hAnsi="Times New Roman" w:eastAsia="仿宋_GB2312" w:cs="仿宋_GB2312"/>
                <w:sz w:val="24"/>
                <w:szCs w:val="24"/>
                <w:lang w:val="en-US" w:eastAsia="zh-CN"/>
              </w:rPr>
            </w:pPr>
          </w:p>
        </w:tc>
        <w:tc>
          <w:tcPr>
            <w:tcW w:w="6312" w:type="dxa"/>
            <w:vAlign w:val="center"/>
          </w:tcPr>
          <w:p>
            <w:pPr>
              <w:jc w:val="both"/>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15.贯彻落实“谁执法谁普法”普法责任制。把法律监督和法治宣传教育有机结合起来，在案件办理过程中开展实时普法、精准普法，加强对当事人、相关重点人群的法律法规和典型案例宣传，把普法教育贯穿于检察履职全过程。</w:t>
            </w:r>
          </w:p>
        </w:tc>
        <w:tc>
          <w:tcPr>
            <w:tcW w:w="2183" w:type="dxa"/>
            <w:vAlign w:val="center"/>
          </w:tcPr>
          <w:p>
            <w:pPr>
              <w:jc w:val="both"/>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各业务部门</w:t>
            </w:r>
          </w:p>
        </w:tc>
        <w:tc>
          <w:tcPr>
            <w:tcW w:w="1623"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trPr>
        <w:tc>
          <w:tcPr>
            <w:tcW w:w="1177" w:type="dxa"/>
            <w:vMerge w:val="continue"/>
            <w:vAlign w:val="center"/>
          </w:tcPr>
          <w:p>
            <w:pPr>
              <w:jc w:val="both"/>
              <w:rPr>
                <w:rFonts w:hint="eastAsia" w:ascii="Times New Roman" w:hAnsi="Times New Roman" w:eastAsia="仿宋_GB2312" w:cs="仿宋_GB2312"/>
                <w:sz w:val="24"/>
                <w:szCs w:val="24"/>
                <w:lang w:val="en-US" w:eastAsia="zh-CN"/>
              </w:rPr>
            </w:pPr>
          </w:p>
        </w:tc>
        <w:tc>
          <w:tcPr>
            <w:tcW w:w="1825" w:type="dxa"/>
            <w:vMerge w:val="continue"/>
            <w:vAlign w:val="center"/>
          </w:tcPr>
          <w:p>
            <w:pPr>
              <w:jc w:val="both"/>
              <w:rPr>
                <w:rFonts w:hint="eastAsia" w:ascii="Times New Roman" w:hAnsi="Times New Roman" w:eastAsia="仿宋_GB2312" w:cs="仿宋_GB2312"/>
                <w:sz w:val="24"/>
                <w:szCs w:val="24"/>
                <w:lang w:val="en-US" w:eastAsia="zh-CN"/>
              </w:rPr>
            </w:pPr>
          </w:p>
        </w:tc>
        <w:tc>
          <w:tcPr>
            <w:tcW w:w="6312" w:type="dxa"/>
            <w:vAlign w:val="center"/>
          </w:tcPr>
          <w:p>
            <w:pPr>
              <w:jc w:val="both"/>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16.</w:t>
            </w:r>
            <w:r>
              <w:rPr>
                <w:rFonts w:hint="eastAsia" w:ascii="Times New Roman" w:hAnsi="Times New Roman" w:eastAsia="仿宋_GB2312" w:cs="仿宋_GB2312"/>
                <w:sz w:val="24"/>
                <w:szCs w:val="24"/>
                <w:lang w:eastAsia="zh-CN"/>
              </w:rPr>
              <w:t>健全完善以案释法制度。加强对以案释法工作的规范指导，注重案中释法和面向社会公众的以案释法工作。完善案件收集、整理、发布机制，定期向社会发布典型案例，定期向区普法办选送案例。</w:t>
            </w:r>
          </w:p>
        </w:tc>
        <w:tc>
          <w:tcPr>
            <w:tcW w:w="2183" w:type="dxa"/>
            <w:vAlign w:val="center"/>
          </w:tcPr>
          <w:p>
            <w:pPr>
              <w:jc w:val="both"/>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各业务部门</w:t>
            </w:r>
          </w:p>
        </w:tc>
        <w:tc>
          <w:tcPr>
            <w:tcW w:w="1623"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7" w:hRule="atLeast"/>
        </w:trPr>
        <w:tc>
          <w:tcPr>
            <w:tcW w:w="1177" w:type="dxa"/>
            <w:vMerge w:val="restart"/>
            <w:vAlign w:val="center"/>
          </w:tcPr>
          <w:p>
            <w:pPr>
              <w:jc w:val="both"/>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五、加强法治文化建设</w:t>
            </w:r>
          </w:p>
        </w:tc>
        <w:tc>
          <w:tcPr>
            <w:tcW w:w="1825" w:type="dxa"/>
            <w:vMerge w:val="restart"/>
            <w:vAlign w:val="center"/>
          </w:tcPr>
          <w:p>
            <w:pPr>
              <w:jc w:val="both"/>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eastAsia="zh-CN"/>
              </w:rPr>
              <w:t>（七）</w:t>
            </w:r>
            <w:r>
              <w:rPr>
                <w:rFonts w:hint="eastAsia" w:ascii="Times New Roman" w:hAnsi="Times New Roman" w:eastAsia="仿宋_GB2312" w:cs="仿宋_GB2312"/>
                <w:sz w:val="24"/>
                <w:szCs w:val="24"/>
                <w:lang w:val="en-US" w:eastAsia="zh-CN"/>
              </w:rPr>
              <w:t>加强法治宣传教育阵地的培育、管理和使用</w:t>
            </w:r>
          </w:p>
        </w:tc>
        <w:tc>
          <w:tcPr>
            <w:tcW w:w="6312" w:type="dxa"/>
            <w:textDirection w:val="lrTb"/>
            <w:vAlign w:val="center"/>
          </w:tcPr>
          <w:p>
            <w:pPr>
              <w:jc w:val="both"/>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17.</w:t>
            </w:r>
            <w:r>
              <w:rPr>
                <w:rFonts w:hint="eastAsia" w:ascii="Times New Roman" w:hAnsi="Times New Roman" w:eastAsia="仿宋_GB2312" w:cs="仿宋_GB2312"/>
                <w:sz w:val="24"/>
                <w:szCs w:val="24"/>
                <w:lang w:eastAsia="zh-CN"/>
              </w:rPr>
              <w:t>加强法治宣传教育阵地的培育、管理和使用，增强窗口常态化法治宣传教育功能，利用好电子屏幕、宣传栏等法治宣教育平台。</w:t>
            </w:r>
          </w:p>
        </w:tc>
        <w:tc>
          <w:tcPr>
            <w:tcW w:w="2183" w:type="dxa"/>
            <w:textDirection w:val="lrTb"/>
            <w:vAlign w:val="center"/>
          </w:tcPr>
          <w:p>
            <w:pPr>
              <w:jc w:val="both"/>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办公室</w:t>
            </w:r>
          </w:p>
          <w:p>
            <w:pPr>
              <w:jc w:val="both"/>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政治部</w:t>
            </w:r>
          </w:p>
          <w:p>
            <w:pPr>
              <w:jc w:val="both"/>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第六检察部</w:t>
            </w:r>
          </w:p>
          <w:p>
            <w:pPr>
              <w:jc w:val="both"/>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综合业务部</w:t>
            </w:r>
          </w:p>
        </w:tc>
        <w:tc>
          <w:tcPr>
            <w:tcW w:w="1623" w:type="dxa"/>
            <w:textDirection w:val="lrTb"/>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3" w:hRule="atLeast"/>
        </w:trPr>
        <w:tc>
          <w:tcPr>
            <w:tcW w:w="1177" w:type="dxa"/>
            <w:vMerge w:val="continue"/>
            <w:vAlign w:val="center"/>
          </w:tcPr>
          <w:p>
            <w:pPr>
              <w:jc w:val="both"/>
              <w:rPr>
                <w:rFonts w:hint="eastAsia" w:ascii="Times New Roman" w:hAnsi="Times New Roman" w:eastAsia="仿宋_GB2312" w:cs="仿宋_GB2312"/>
                <w:sz w:val="24"/>
                <w:szCs w:val="24"/>
                <w:lang w:val="en-US" w:eastAsia="zh-CN"/>
              </w:rPr>
            </w:pPr>
          </w:p>
        </w:tc>
        <w:tc>
          <w:tcPr>
            <w:tcW w:w="1825" w:type="dxa"/>
            <w:vMerge w:val="continue"/>
            <w:vAlign w:val="center"/>
          </w:tcPr>
          <w:p>
            <w:pPr>
              <w:jc w:val="both"/>
              <w:rPr>
                <w:rFonts w:hint="eastAsia" w:ascii="Times New Roman" w:hAnsi="Times New Roman" w:eastAsia="仿宋_GB2312" w:cs="仿宋_GB2312"/>
                <w:sz w:val="24"/>
                <w:szCs w:val="24"/>
                <w:lang w:eastAsia="zh-CN"/>
              </w:rPr>
            </w:pPr>
          </w:p>
        </w:tc>
        <w:tc>
          <w:tcPr>
            <w:tcW w:w="6312" w:type="dxa"/>
            <w:textDirection w:val="lrTb"/>
            <w:vAlign w:val="center"/>
          </w:tcPr>
          <w:p>
            <w:pPr>
              <w:widowControl w:val="0"/>
              <w:numPr>
                <w:numId w:val="0"/>
              </w:numPr>
              <w:wordWrap/>
              <w:adjustRightInd/>
              <w:snapToGrid/>
              <w:spacing w:before="0" w:after="0" w:line="240" w:lineRule="auto"/>
              <w:ind w:left="0" w:leftChars="0" w:right="0"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发挥法治宣传教育基地和阵地作用。把法治文化阵地建设纳入检察文化建设重要内容，利用好“焦裕禄勤政为民工作室”打造法治宣传教育基地，注重传承红色法治基因，赓续红色法治血脉。加强法治宣传教育阵地的管理和使用，及时更新完善宣传内容，有序加大开放力度，打造法治宣传教育基地和阵地。</w:t>
            </w:r>
          </w:p>
        </w:tc>
        <w:tc>
          <w:tcPr>
            <w:tcW w:w="2183" w:type="dxa"/>
            <w:textDirection w:val="lrTb"/>
            <w:vAlign w:val="center"/>
          </w:tcPr>
          <w:p>
            <w:pPr>
              <w:widowControl w:val="0"/>
              <w:wordWrap/>
              <w:adjustRightInd w:val="0"/>
              <w:snapToGrid w:val="0"/>
              <w:spacing w:line="240" w:lineRule="atLeast"/>
              <w:ind w:left="0" w:leftChars="0" w:right="0" w:firstLine="0" w:firstLineChars="0"/>
              <w:jc w:val="both"/>
              <w:textAlignment w:val="auto"/>
              <w:rPr>
                <w:rFonts w:hint="eastAsia" w:eastAsia="仿宋_GB2312"/>
                <w:lang w:eastAsia="zh-CN"/>
              </w:rPr>
            </w:pPr>
            <w:r>
              <w:rPr>
                <w:rFonts w:hint="eastAsia" w:ascii="Times New Roman" w:hAnsi="Times New Roman" w:eastAsia="仿宋_GB2312" w:cs="仿宋_GB2312"/>
                <w:sz w:val="24"/>
                <w:szCs w:val="24"/>
                <w:lang w:val="en-US" w:eastAsia="zh-CN"/>
              </w:rPr>
              <w:t>政治部</w:t>
            </w:r>
          </w:p>
        </w:tc>
        <w:tc>
          <w:tcPr>
            <w:tcW w:w="1623" w:type="dxa"/>
            <w:textDirection w:val="lrTb"/>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3" w:hRule="atLeast"/>
        </w:trPr>
        <w:tc>
          <w:tcPr>
            <w:tcW w:w="1177" w:type="dxa"/>
            <w:vMerge w:val="continue"/>
            <w:vAlign w:val="center"/>
          </w:tcPr>
          <w:p>
            <w:pPr>
              <w:jc w:val="both"/>
              <w:rPr>
                <w:rFonts w:hint="eastAsia" w:ascii="Times New Roman" w:hAnsi="Times New Roman" w:eastAsia="仿宋_GB2312" w:cs="仿宋_GB2312"/>
                <w:sz w:val="24"/>
                <w:szCs w:val="24"/>
                <w:lang w:val="en-US" w:eastAsia="zh-CN"/>
              </w:rPr>
            </w:pPr>
          </w:p>
        </w:tc>
        <w:tc>
          <w:tcPr>
            <w:tcW w:w="1825" w:type="dxa"/>
            <w:vAlign w:val="center"/>
          </w:tcPr>
          <w:p>
            <w:pPr>
              <w:jc w:val="both"/>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（八）</w:t>
            </w:r>
            <w:r>
              <w:rPr>
                <w:rFonts w:hint="eastAsia" w:ascii="Times New Roman" w:hAnsi="Times New Roman" w:eastAsia="仿宋_GB2312" w:cs="仿宋_GB2312"/>
                <w:sz w:val="24"/>
                <w:szCs w:val="24"/>
                <w:lang w:val="en-US" w:eastAsia="zh-CN"/>
              </w:rPr>
              <w:t>创新普法宣传形式</w:t>
            </w:r>
          </w:p>
        </w:tc>
        <w:tc>
          <w:tcPr>
            <w:tcW w:w="6312" w:type="dxa"/>
            <w:vAlign w:val="center"/>
          </w:tcPr>
          <w:p>
            <w:pPr>
              <w:jc w:val="both"/>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19.</w:t>
            </w:r>
            <w:r>
              <w:rPr>
                <w:rFonts w:hint="eastAsia" w:ascii="Times New Roman" w:hAnsi="Times New Roman" w:eastAsia="仿宋_GB2312" w:cs="仿宋_GB2312"/>
                <w:sz w:val="24"/>
                <w:szCs w:val="24"/>
                <w:lang w:eastAsia="zh-CN"/>
              </w:rPr>
              <w:t>创新普法形式。利用报刊、广播、电视、网站、微博、微信等大众传媒开展普法宣传。在官方网站、公众号开设普法专栏专题，经常性刊播公益普法信息和普法活动情况，加强法治宣传原创作品的创作推广；在市级、区级媒体重要时段或重要版面开展公益法治宣传。</w:t>
            </w:r>
          </w:p>
        </w:tc>
        <w:tc>
          <w:tcPr>
            <w:tcW w:w="2183" w:type="dxa"/>
            <w:vAlign w:val="center"/>
          </w:tcPr>
          <w:p>
            <w:pPr>
              <w:jc w:val="both"/>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办公室</w:t>
            </w:r>
          </w:p>
        </w:tc>
        <w:tc>
          <w:tcPr>
            <w:tcW w:w="1623"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1177" w:type="dxa"/>
            <w:vMerge w:val="continue"/>
            <w:vAlign w:val="center"/>
          </w:tcPr>
          <w:p>
            <w:pPr>
              <w:jc w:val="both"/>
              <w:rPr>
                <w:rFonts w:hint="eastAsia" w:ascii="Times New Roman" w:hAnsi="Times New Roman" w:eastAsia="仿宋_GB2312" w:cs="仿宋_GB2312"/>
                <w:sz w:val="24"/>
                <w:szCs w:val="24"/>
                <w:lang w:val="en-US" w:eastAsia="zh-CN"/>
              </w:rPr>
            </w:pPr>
          </w:p>
        </w:tc>
        <w:tc>
          <w:tcPr>
            <w:tcW w:w="1825" w:type="dxa"/>
            <w:vMerge w:val="restart"/>
            <w:vAlign w:val="center"/>
          </w:tcPr>
          <w:p>
            <w:pPr>
              <w:jc w:val="both"/>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（九）</w:t>
            </w:r>
            <w:r>
              <w:rPr>
                <w:rFonts w:hint="eastAsia" w:ascii="Times New Roman" w:hAnsi="Times New Roman" w:eastAsia="仿宋_GB2312" w:cs="仿宋_GB2312"/>
                <w:sz w:val="24"/>
                <w:szCs w:val="24"/>
                <w:lang w:val="en-US" w:eastAsia="zh-CN"/>
              </w:rPr>
              <w:t>加强法治宣传产品创作推广</w:t>
            </w:r>
          </w:p>
          <w:p>
            <w:pPr>
              <w:jc w:val="both"/>
              <w:rPr>
                <w:rFonts w:hint="eastAsia" w:ascii="Times New Roman" w:hAnsi="Times New Roman" w:eastAsia="仿宋_GB2312" w:cs="仿宋_GB2312"/>
                <w:sz w:val="24"/>
                <w:szCs w:val="24"/>
                <w:lang w:val="en-US" w:eastAsia="zh-CN"/>
              </w:rPr>
            </w:pPr>
          </w:p>
        </w:tc>
        <w:tc>
          <w:tcPr>
            <w:tcW w:w="6312" w:type="dxa"/>
            <w:vAlign w:val="center"/>
          </w:tcPr>
          <w:p>
            <w:pPr>
              <w:jc w:val="both"/>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20.</w:t>
            </w:r>
            <w:r>
              <w:rPr>
                <w:rFonts w:hint="eastAsia" w:ascii="Times New Roman" w:hAnsi="Times New Roman" w:eastAsia="仿宋_GB2312" w:cs="仿宋_GB2312"/>
                <w:sz w:val="24"/>
                <w:szCs w:val="24"/>
                <w:lang w:eastAsia="zh-CN"/>
              </w:rPr>
              <w:t>加强向区普法办信息报送力度和宣传力度，按节点报送“谁执法谁普法”重点宣传项目等相关普法产品。</w:t>
            </w:r>
          </w:p>
        </w:tc>
        <w:tc>
          <w:tcPr>
            <w:tcW w:w="2183" w:type="dxa"/>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政治部</w:t>
            </w:r>
          </w:p>
        </w:tc>
        <w:tc>
          <w:tcPr>
            <w:tcW w:w="1623" w:type="dxa"/>
            <w:textDirection w:val="lrTb"/>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1177" w:type="dxa"/>
            <w:vMerge w:val="continue"/>
            <w:vAlign w:val="center"/>
          </w:tcPr>
          <w:p>
            <w:pPr>
              <w:jc w:val="both"/>
              <w:rPr>
                <w:rFonts w:hint="eastAsia" w:ascii="Times New Roman" w:hAnsi="Times New Roman" w:eastAsia="仿宋_GB2312" w:cs="仿宋_GB2312"/>
                <w:sz w:val="24"/>
                <w:szCs w:val="24"/>
                <w:lang w:val="en-US" w:eastAsia="zh-CN"/>
              </w:rPr>
            </w:pPr>
          </w:p>
        </w:tc>
        <w:tc>
          <w:tcPr>
            <w:tcW w:w="1825" w:type="dxa"/>
            <w:vMerge w:val="continue"/>
            <w:vAlign w:val="center"/>
          </w:tcPr>
          <w:p>
            <w:pPr>
              <w:jc w:val="both"/>
              <w:rPr>
                <w:rFonts w:hint="eastAsia" w:ascii="Times New Roman" w:hAnsi="Times New Roman" w:eastAsia="仿宋_GB2312" w:cs="仿宋_GB2312"/>
                <w:sz w:val="24"/>
                <w:szCs w:val="24"/>
                <w:lang w:eastAsia="zh-CN"/>
              </w:rPr>
            </w:pPr>
          </w:p>
        </w:tc>
        <w:tc>
          <w:tcPr>
            <w:tcW w:w="6312" w:type="dxa"/>
            <w:vAlign w:val="center"/>
          </w:tcPr>
          <w:p>
            <w:pPr>
              <w:jc w:val="both"/>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21.</w:t>
            </w:r>
            <w:r>
              <w:rPr>
                <w:rFonts w:hint="eastAsia" w:ascii="Times New Roman" w:hAnsi="Times New Roman" w:eastAsia="仿宋_GB2312" w:cs="仿宋_GB2312"/>
                <w:sz w:val="24"/>
                <w:szCs w:val="24"/>
                <w:lang w:eastAsia="zh-CN"/>
              </w:rPr>
              <w:t>加强法治宣传原创作品的创作推广。</w:t>
            </w:r>
          </w:p>
        </w:tc>
        <w:tc>
          <w:tcPr>
            <w:tcW w:w="2183" w:type="dxa"/>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办公室</w:t>
            </w:r>
          </w:p>
        </w:tc>
        <w:tc>
          <w:tcPr>
            <w:tcW w:w="1623" w:type="dxa"/>
            <w:textDirection w:val="lrTb"/>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1" w:hRule="atLeast"/>
        </w:trPr>
        <w:tc>
          <w:tcPr>
            <w:tcW w:w="1177" w:type="dxa"/>
            <w:vMerge w:val="continue"/>
            <w:vAlign w:val="center"/>
          </w:tcPr>
          <w:p>
            <w:pPr>
              <w:jc w:val="both"/>
              <w:rPr>
                <w:rFonts w:hint="eastAsia" w:ascii="Times New Roman" w:hAnsi="Times New Roman" w:eastAsia="仿宋_GB2312" w:cs="仿宋_GB2312"/>
                <w:sz w:val="24"/>
                <w:szCs w:val="24"/>
                <w:lang w:val="en-US" w:eastAsia="zh-CN"/>
              </w:rPr>
            </w:pPr>
          </w:p>
        </w:tc>
        <w:tc>
          <w:tcPr>
            <w:tcW w:w="1825" w:type="dxa"/>
            <w:vMerge w:val="continue"/>
            <w:vAlign w:val="center"/>
          </w:tcPr>
          <w:p>
            <w:pPr>
              <w:jc w:val="both"/>
              <w:rPr>
                <w:rFonts w:hint="eastAsia" w:ascii="Times New Roman" w:hAnsi="Times New Roman" w:eastAsia="仿宋_GB2312" w:cs="仿宋_GB2312"/>
                <w:sz w:val="24"/>
                <w:szCs w:val="24"/>
                <w:lang w:val="en-US" w:eastAsia="zh-CN"/>
              </w:rPr>
            </w:pPr>
          </w:p>
        </w:tc>
        <w:tc>
          <w:tcPr>
            <w:tcW w:w="6312" w:type="dxa"/>
            <w:textDirection w:val="lrTb"/>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22.及时总结、梳理普法工作的经验和亮点工作，加强宣传推广，提高知名度和影响力。</w:t>
            </w:r>
          </w:p>
          <w:p>
            <w:pPr>
              <w:jc w:val="both"/>
              <w:rPr>
                <w:rFonts w:hint="eastAsia" w:ascii="仿宋_GB2312" w:hAnsi="仿宋_GB2312" w:eastAsia="仿宋_GB2312" w:cs="仿宋_GB2312"/>
                <w:sz w:val="24"/>
                <w:szCs w:val="24"/>
                <w:lang w:eastAsia="zh-CN"/>
              </w:rPr>
            </w:pPr>
          </w:p>
        </w:tc>
        <w:tc>
          <w:tcPr>
            <w:tcW w:w="2183" w:type="dxa"/>
            <w:textDirection w:val="lrTb"/>
            <w:vAlign w:val="center"/>
          </w:tcPr>
          <w:p>
            <w:pPr>
              <w:jc w:val="both"/>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办公室</w:t>
            </w:r>
          </w:p>
          <w:p>
            <w:pPr>
              <w:jc w:val="both"/>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政治部</w:t>
            </w:r>
          </w:p>
          <w:p>
            <w:pPr>
              <w:jc w:val="both"/>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eastAsia="zh-CN"/>
              </w:rPr>
              <w:t>综合业务部</w:t>
            </w:r>
          </w:p>
        </w:tc>
        <w:tc>
          <w:tcPr>
            <w:tcW w:w="1623" w:type="dxa"/>
            <w:textDirection w:val="lrTb"/>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1177" w:type="dxa"/>
            <w:vMerge w:val="continue"/>
            <w:vAlign w:val="center"/>
          </w:tcPr>
          <w:p>
            <w:pPr>
              <w:jc w:val="both"/>
              <w:rPr>
                <w:rFonts w:hint="eastAsia" w:ascii="Times New Roman" w:hAnsi="Times New Roman" w:eastAsia="仿宋_GB2312" w:cs="仿宋_GB2312"/>
                <w:sz w:val="24"/>
                <w:szCs w:val="24"/>
                <w:lang w:val="en-US" w:eastAsia="zh-CN"/>
              </w:rPr>
            </w:pPr>
          </w:p>
        </w:tc>
        <w:tc>
          <w:tcPr>
            <w:tcW w:w="1825" w:type="dxa"/>
            <w:vAlign w:val="center"/>
          </w:tcPr>
          <w:p>
            <w:pPr>
              <w:jc w:val="both"/>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w:t>
            </w:r>
            <w:r>
              <w:rPr>
                <w:rFonts w:hint="eastAsia" w:ascii="Times New Roman" w:hAnsi="Times New Roman" w:eastAsia="仿宋_GB2312" w:cs="仿宋_GB2312"/>
                <w:sz w:val="24"/>
                <w:szCs w:val="24"/>
                <w:lang w:val="en-US" w:eastAsia="zh-CN"/>
              </w:rPr>
              <w:t>十</w:t>
            </w:r>
            <w:r>
              <w:rPr>
                <w:rFonts w:hint="eastAsia" w:ascii="Times New Roman" w:hAnsi="Times New Roman" w:eastAsia="仿宋_GB2312" w:cs="仿宋_GB2312"/>
                <w:sz w:val="24"/>
                <w:szCs w:val="24"/>
                <w:lang w:eastAsia="zh-CN"/>
              </w:rPr>
              <w:t>）以法治文化建设</w:t>
            </w:r>
            <w:r>
              <w:rPr>
                <w:rFonts w:hint="eastAsia" w:ascii="Times New Roman" w:hAnsi="Times New Roman" w:eastAsia="仿宋_GB2312" w:cs="仿宋_GB2312"/>
                <w:sz w:val="24"/>
                <w:szCs w:val="24"/>
                <w:lang w:val="en-US" w:eastAsia="zh-CN"/>
              </w:rPr>
              <w:t>促进检察业务</w:t>
            </w:r>
          </w:p>
          <w:p>
            <w:pPr>
              <w:jc w:val="both"/>
              <w:rPr>
                <w:rFonts w:hint="eastAsia" w:ascii="Times New Roman" w:hAnsi="Times New Roman" w:eastAsia="仿宋_GB2312" w:cs="仿宋_GB2312"/>
                <w:sz w:val="24"/>
                <w:szCs w:val="24"/>
                <w:lang w:eastAsia="zh-CN"/>
              </w:rPr>
            </w:pPr>
          </w:p>
        </w:tc>
        <w:tc>
          <w:tcPr>
            <w:tcW w:w="6312" w:type="dxa"/>
            <w:vAlign w:val="center"/>
          </w:tcPr>
          <w:p>
            <w:pPr>
              <w:jc w:val="both"/>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23.</w:t>
            </w:r>
            <w:r>
              <w:rPr>
                <w:rFonts w:hint="eastAsia" w:ascii="Times New Roman" w:hAnsi="Times New Roman" w:eastAsia="仿宋_GB2312" w:cs="仿宋_GB2312"/>
                <w:sz w:val="24"/>
                <w:szCs w:val="24"/>
                <w:lang w:eastAsia="zh-CN"/>
              </w:rPr>
              <w:t>加强法治文化建设。培植检察法治文化理念、丰富检察法治文化形式、打造检察法治文化亮点，将法治精神、法治意识、法治理念融入检察工作实践，推进检察机关依法治理，提升法治文化建设对检察业务工作的促进作用。</w:t>
            </w:r>
          </w:p>
        </w:tc>
        <w:tc>
          <w:tcPr>
            <w:tcW w:w="2183" w:type="dxa"/>
            <w:textDirection w:val="lrTb"/>
            <w:vAlign w:val="center"/>
          </w:tcPr>
          <w:p>
            <w:pPr>
              <w:widowControl w:val="0"/>
              <w:wordWrap/>
              <w:adjustRightInd w:val="0"/>
              <w:snapToGrid w:val="0"/>
              <w:spacing w:line="240" w:lineRule="atLeast"/>
              <w:ind w:left="0" w:leftChars="0" w:right="0" w:firstLine="0" w:firstLineChars="0"/>
              <w:jc w:val="both"/>
              <w:textAlignment w:val="auto"/>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政治部</w:t>
            </w:r>
          </w:p>
        </w:tc>
        <w:tc>
          <w:tcPr>
            <w:tcW w:w="1623" w:type="dxa"/>
            <w:textDirection w:val="lrTb"/>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12月31日前</w:t>
            </w:r>
          </w:p>
        </w:tc>
      </w:tr>
    </w:tbl>
    <w:p>
      <w:pPr>
        <w:rPr>
          <w:rFonts w:hint="eastAsia" w:ascii="Times New Roman" w:hAnsi="Times New Roman"/>
          <w:lang w:val="en-US" w:eastAsia="zh-CN"/>
        </w:rPr>
      </w:pPr>
    </w:p>
    <w:p>
      <w:pPr>
        <w:rPr>
          <w:rFonts w:hint="eastAsia" w:ascii="Times New Roman" w:hAnsi="Times New Roman"/>
          <w:lang w:val="en-US" w:eastAsia="zh-CN"/>
        </w:rPr>
      </w:pPr>
      <w:bookmarkStart w:id="0" w:name="_GoBack"/>
      <w:bookmarkEnd w:id="0"/>
    </w:p>
    <w:sectPr>
      <w:pgSz w:w="16838" w:h="11906" w:orient="landscape"/>
      <w:pgMar w:top="1701" w:right="1440" w:bottom="1701" w:left="1440" w:header="851" w:footer="992" w:gutter="0"/>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方正小标宋_GBK">
    <w:altName w:val="Arial Unicode MS"/>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FSA">
    <w:altName w:val="Verdana"/>
    <w:panose1 w:val="02010604000000000000"/>
    <w:charset w:val="00"/>
    <w:family w:val="auto"/>
    <w:pitch w:val="default"/>
    <w:sig w:usb0="00000000" w:usb1="00000000" w:usb2="00000000" w:usb3="00000000" w:csb0="00040001" w:csb1="00000000"/>
  </w:font>
  <w:font w:name="FSB">
    <w:altName w:val="Verdana"/>
    <w:panose1 w:val="02010604000000000000"/>
    <w:charset w:val="00"/>
    <w:family w:val="auto"/>
    <w:pitch w:val="default"/>
    <w:sig w:usb0="00000000" w:usb1="00000000" w:usb2="00000000" w:usb3="00000000" w:csb0="00040001" w:csb1="00000000"/>
  </w:font>
  <w:font w:name="Vijaya">
    <w:panose1 w:val="020B0604020202020204"/>
    <w:charset w:val="00"/>
    <w:family w:val="auto"/>
    <w:pitch w:val="default"/>
    <w:sig w:usb0="0010000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Verdana">
    <w:panose1 w:val="020B0604030504040204"/>
    <w:charset w:val="00"/>
    <w:family w:val="auto"/>
    <w:pitch w:val="default"/>
    <w:sig w:usb0="A10006FF" w:usb1="4000205B" w:usb2="00000010" w:usb3="00000000" w:csb0="2000019F" w:csb1="00000000"/>
  </w:font>
  <w:font w:name="Microsoft Sans Serif">
    <w:panose1 w:val="020B0604020202020204"/>
    <w:charset w:val="00"/>
    <w:family w:val="auto"/>
    <w:pitch w:val="default"/>
    <w:sig w:usb0="E1002AFF" w:usb1="C0000002"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qFormat/>
    <w:uiPriority w:val="0"/>
  </w:style>
  <w:style w:type="paragraph" w:styleId="2">
    <w:name w:val="index 5"/>
    <w:basedOn w:val="1"/>
    <w:next w:val="1"/>
    <w:qFormat/>
    <w:uiPriority w:val="0"/>
    <w:pPr>
      <w:ind w:left="1680"/>
    </w:pPr>
    <w:rPr>
      <w:rFonts w:ascii="Calibri" w:hAnsi="Calibri" w:eastAsia="宋体" w:cs="Times New Roman"/>
      <w:szCs w:val="22"/>
    </w:rPr>
  </w:style>
  <w:style w:type="paragraph" w:styleId="3">
    <w:name w:val="Body Text"/>
    <w:basedOn w:val="1"/>
    <w:qFormat/>
    <w:uiPriority w:val="0"/>
  </w:style>
  <w:style w:type="paragraph" w:styleId="4">
    <w:name w:val="Body Text Indent"/>
    <w:basedOn w:val="1"/>
    <w:next w:val="2"/>
    <w:qFormat/>
    <w:uiPriority w:val="0"/>
    <w:pPr>
      <w:ind w:firstLine="630"/>
    </w:p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4"/>
    <w:next w:val="1"/>
    <w:qFormat/>
    <w:uiPriority w:val="0"/>
    <w:pPr>
      <w:spacing w:after="120"/>
      <w:ind w:left="200" w:leftChars="200" w:firstLine="420" w:firstLineChars="200"/>
    </w:pPr>
    <w:rPr>
      <w:rFonts w:ascii="Times New Roman"/>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2022-05-17T01:21:00Z</dcterms:created>
  <dc:creator>dell</dc:creator>
  <cp:lastModifiedBy>dell</cp:lastModifiedBy>
  <cp:lastPrinted>2023-05-29T03:06:00Z</cp:lastPrinted>
  <dcterms:modified xsi:type="dcterms:W3CDTF">2023-05-31T00:03:39Z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2052-9.1.0.4473</vt:lpwstr>
  </property>
</Properties>
</file>